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5" w:rsidRDefault="00DA4459">
      <w:pPr>
        <w:jc w:val="both"/>
        <w:rPr>
          <w:b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474665">
        <w:tc>
          <w:tcPr>
            <w:tcW w:w="4322" w:type="dxa"/>
          </w:tcPr>
          <w:p w:rsidR="00474665" w:rsidRDefault="00DA445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474665" w:rsidRDefault="00DA4459">
            <w:pPr>
              <w:jc w:val="both"/>
            </w:pPr>
            <w:r>
              <w:t>BIOQUIMICA</w:t>
            </w:r>
          </w:p>
          <w:p w:rsidR="00474665" w:rsidRDefault="00474665">
            <w:pPr>
              <w:jc w:val="both"/>
            </w:pPr>
          </w:p>
        </w:tc>
        <w:tc>
          <w:tcPr>
            <w:tcW w:w="4322" w:type="dxa"/>
          </w:tcPr>
          <w:p w:rsidR="00474665" w:rsidRDefault="00DA445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474665" w:rsidRDefault="00DA4459">
            <w:pPr>
              <w:jc w:val="both"/>
            </w:pPr>
            <w:r>
              <w:rPr>
                <w:b/>
              </w:rPr>
              <w:t>“DR. RAMÓN CARRILLO”</w:t>
            </w:r>
            <w:r>
              <w:t xml:space="preserve"> SAN MARTIN DE LOS ANDES. ZS IV</w:t>
            </w:r>
          </w:p>
          <w:p w:rsidR="00474665" w:rsidRDefault="00474665">
            <w:pPr>
              <w:jc w:val="both"/>
            </w:pPr>
          </w:p>
        </w:tc>
      </w:tr>
    </w:tbl>
    <w:p w:rsidR="00474665" w:rsidRDefault="00474665">
      <w:pPr>
        <w:jc w:val="both"/>
      </w:pPr>
    </w:p>
    <w:p w:rsidR="00474665" w:rsidRDefault="00DA4459">
      <w:pPr>
        <w:jc w:val="both"/>
        <w:rPr>
          <w:b/>
          <w:u w:val="single"/>
        </w:rPr>
      </w:pPr>
      <w:r>
        <w:rPr>
          <w:b/>
          <w:u w:val="single"/>
        </w:rPr>
        <w:t>NORMATIVA Y BIBLIOGRAFÍA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>BANCOS SALUD- Materiales para equipos de Salud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 xml:space="preserve">Enfermedades infecciosas </w:t>
            </w:r>
            <w:proofErr w:type="spellStart"/>
            <w:r>
              <w:t>Mandell</w:t>
            </w:r>
            <w:proofErr w:type="spellEnd"/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>El laboratorio en el diagnóstico clínico- Henry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GUIA PROVINCIAL DE DIAGNÓSTICO Y TRATAMIENTO DE LA DIABETES GESTACIONAL (NQN)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>Documento de consenso sobre el uso de Troponinas cardíacas en pacientes con dolor toráci</w:t>
            </w:r>
            <w:r>
              <w:t>co agudo del Comité de Cardiopatía Isquémica de la Federación Argentina de Cardiología, Revista Federación Argentina de Cardiología 2020; 49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</w:tbl>
    <w:p w:rsidR="00474665" w:rsidRDefault="00474665">
      <w:pPr>
        <w:jc w:val="both"/>
      </w:pPr>
    </w:p>
    <w:p w:rsidR="00474665" w:rsidRDefault="00DA4459">
      <w:pPr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>https://drive.google.com/drive/folders/17FPjWtvzo0XoQLwsKpe2HHxC9AD-N1Pp?usp=sharing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74665" w:rsidRDefault="00DA4459">
            <w:pPr>
              <w:jc w:val="both"/>
            </w:pPr>
            <w:r>
              <w:t>http://antimicrobianos.com.ar/</w:t>
            </w: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</w:tbl>
    <w:p w:rsidR="00474665" w:rsidRDefault="00474665">
      <w:pPr>
        <w:jc w:val="both"/>
      </w:pPr>
    </w:p>
    <w:p w:rsidR="00474665" w:rsidRDefault="00DA4459">
      <w:pPr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  <w:tr w:rsidR="00474665">
        <w:tc>
          <w:tcPr>
            <w:tcW w:w="534" w:type="dxa"/>
          </w:tcPr>
          <w:p w:rsidR="00474665" w:rsidRDefault="00DA4459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74665" w:rsidRDefault="00474665">
            <w:pPr>
              <w:jc w:val="both"/>
            </w:pPr>
          </w:p>
        </w:tc>
      </w:tr>
    </w:tbl>
    <w:p w:rsidR="00474665" w:rsidRDefault="00474665">
      <w:pPr>
        <w:jc w:val="both"/>
      </w:pPr>
    </w:p>
    <w:p w:rsidR="00474665" w:rsidRDefault="00474665"/>
    <w:sectPr w:rsidR="0047466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65"/>
    <w:rsid w:val="00474665"/>
    <w:rsid w:val="00D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DEA349-DEF0-4822-A759-1A59D01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C0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5WGVEV1M36eaFFqLlaZLxItLIw==">AMUW2mUcujmj27NqZhey1Qp7uHmG18vIwNMlD8IvADGynFshDa33AGzw+wdKgbBVsynbj99CwHT2aDJVnGEmBxoqMj+bEPUKioGT9SYZ6ESJiuMo2fYUwjZ+peza/QZ8Jh4Y1pnX3cKL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Personal</cp:lastModifiedBy>
  <cp:revision>2</cp:revision>
  <dcterms:created xsi:type="dcterms:W3CDTF">2022-07-08T12:24:00Z</dcterms:created>
  <dcterms:modified xsi:type="dcterms:W3CDTF">2022-07-08T12:24:00Z</dcterms:modified>
</cp:coreProperties>
</file>